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041E4F">
        <w:rPr>
          <w:rFonts w:ascii="Arial Narrow" w:hAnsi="Arial Narrow"/>
          <w:b/>
          <w:color w:val="000000"/>
          <w:szCs w:val="24"/>
        </w:rPr>
        <w:t>5</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041E4F">
        <w:rPr>
          <w:rFonts w:ascii="Arial Narrow" w:hAnsi="Arial Narrow" w:cs="Calibri"/>
          <w:b/>
          <w:color w:val="000000"/>
          <w:sz w:val="28"/>
          <w:szCs w:val="22"/>
        </w:rPr>
        <w:t>5</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8F6961" w:rsidRPr="008F6961">
        <w:rPr>
          <w:rFonts w:ascii="Arial Narrow" w:hAnsi="Arial Narrow" w:cs="Calibri"/>
          <w:b/>
          <w:sz w:val="22"/>
          <w:szCs w:val="22"/>
        </w:rPr>
        <w:t>Peroperační ultrasonograf včetně dopplerometrie</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8F6961" w:rsidRPr="008F6961">
        <w:rPr>
          <w:rFonts w:ascii="Arial Narrow" w:hAnsi="Arial Narrow" w:cs="Arial"/>
          <w:b/>
          <w:bCs/>
          <w:sz w:val="22"/>
          <w:szCs w:val="22"/>
        </w:rPr>
        <w:t>Peroperační</w:t>
      </w:r>
      <w:r w:rsidR="008F6961">
        <w:rPr>
          <w:rFonts w:ascii="Arial Narrow" w:hAnsi="Arial Narrow" w:cs="Arial"/>
          <w:b/>
          <w:bCs/>
          <w:sz w:val="22"/>
          <w:szCs w:val="22"/>
        </w:rPr>
        <w:t>mu</w:t>
      </w:r>
      <w:r w:rsidR="008F6961" w:rsidRPr="008F6961">
        <w:rPr>
          <w:rFonts w:ascii="Arial Narrow" w:hAnsi="Arial Narrow" w:cs="Arial"/>
          <w:b/>
          <w:bCs/>
          <w:sz w:val="22"/>
          <w:szCs w:val="22"/>
        </w:rPr>
        <w:t xml:space="preserve"> ultrasonograf</w:t>
      </w:r>
      <w:r w:rsidR="008F6961">
        <w:rPr>
          <w:rFonts w:ascii="Arial Narrow" w:hAnsi="Arial Narrow" w:cs="Arial"/>
          <w:b/>
          <w:bCs/>
          <w:sz w:val="22"/>
          <w:szCs w:val="22"/>
        </w:rPr>
        <w:t>u</w:t>
      </w:r>
      <w:r w:rsidR="008F6961" w:rsidRPr="008F6961">
        <w:rPr>
          <w:rFonts w:ascii="Arial Narrow" w:hAnsi="Arial Narrow" w:cs="Arial"/>
          <w:b/>
          <w:bCs/>
          <w:sz w:val="22"/>
          <w:szCs w:val="22"/>
        </w:rPr>
        <w:t xml:space="preserve"> včetně dopplerometrie</w:t>
      </w:r>
      <w:r w:rsidR="00D91B47" w:rsidRPr="00D91B47">
        <w:rPr>
          <w:rFonts w:ascii="Arial Narrow" w:hAnsi="Arial Narrow" w:cs="Arial"/>
          <w:b/>
          <w:bCs/>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Masarykovu nemocnici v Ústí nad Labem, o.</w:t>
      </w:r>
      <w:r w:rsidR="00A119FA">
        <w:rPr>
          <w:rFonts w:ascii="Arial Narrow" w:hAnsi="Arial Narrow" w:cs="Arial"/>
          <w:sz w:val="22"/>
          <w:szCs w:val="22"/>
        </w:rPr>
        <w:t xml:space="preserve"> </w:t>
      </w:r>
      <w:r w:rsidRPr="00B6443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000576" w:rsidRDefault="00000576" w:rsidP="00000576">
      <w:pPr>
        <w:pStyle w:val="Odstavecseseznamem"/>
        <w:numPr>
          <w:ilvl w:val="0"/>
          <w:numId w:val="27"/>
        </w:numPr>
        <w:tabs>
          <w:tab w:val="left" w:pos="357"/>
          <w:tab w:val="left" w:pos="426"/>
        </w:tabs>
        <w:spacing w:before="120"/>
        <w:rPr>
          <w:rFonts w:ascii="Arial Narrow" w:hAnsi="Arial Narrow" w:cs="Arial"/>
          <w:szCs w:val="22"/>
        </w:rPr>
      </w:pPr>
      <w:r w:rsidRPr="00000576">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805AC9">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w:t>
      </w:r>
      <w:r w:rsidRPr="00B6443B">
        <w:rPr>
          <w:rFonts w:ascii="Arial Narrow" w:hAnsi="Arial Narrow" w:cs="Arial"/>
          <w:sz w:val="22"/>
          <w:szCs w:val="22"/>
        </w:rPr>
        <w:lastRenderedPageBreak/>
        <w:t xml:space="preserve">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lastRenderedPageBreak/>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w:t>
      </w:r>
      <w:r w:rsidRPr="00B6443B">
        <w:rPr>
          <w:rFonts w:ascii="Arial Narrow" w:hAnsi="Arial Narrow" w:cs="Arial"/>
          <w:sz w:val="22"/>
          <w:szCs w:val="22"/>
          <w:lang w:eastAsia="en-US"/>
        </w:rPr>
        <w:lastRenderedPageBreak/>
        <w:t>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B9" w:rsidRDefault="00636DB9">
      <w:r>
        <w:separator/>
      </w:r>
    </w:p>
  </w:endnote>
  <w:endnote w:type="continuationSeparator" w:id="0">
    <w:p w:rsidR="00636DB9" w:rsidRDefault="0063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000576">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B9" w:rsidRDefault="00636DB9">
      <w:r>
        <w:separator/>
      </w:r>
    </w:p>
  </w:footnote>
  <w:footnote w:type="continuationSeparator" w:id="0">
    <w:p w:rsidR="00636DB9" w:rsidRDefault="00636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0576"/>
    <w:rsid w:val="00021D2B"/>
    <w:rsid w:val="00027FB4"/>
    <w:rsid w:val="00032973"/>
    <w:rsid w:val="00041E4F"/>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0F5CD9"/>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75FC8"/>
    <w:rsid w:val="00294C41"/>
    <w:rsid w:val="00296D33"/>
    <w:rsid w:val="002A4606"/>
    <w:rsid w:val="002D02BD"/>
    <w:rsid w:val="002D3D24"/>
    <w:rsid w:val="002E04FA"/>
    <w:rsid w:val="002F35BB"/>
    <w:rsid w:val="003061DE"/>
    <w:rsid w:val="00332AFF"/>
    <w:rsid w:val="00355AB4"/>
    <w:rsid w:val="003568D0"/>
    <w:rsid w:val="00373E6C"/>
    <w:rsid w:val="003757F7"/>
    <w:rsid w:val="003766E1"/>
    <w:rsid w:val="003803CF"/>
    <w:rsid w:val="00382A17"/>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36DB9"/>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7AC7"/>
    <w:rsid w:val="00716FCC"/>
    <w:rsid w:val="007208F6"/>
    <w:rsid w:val="00721BA2"/>
    <w:rsid w:val="00724F56"/>
    <w:rsid w:val="00742D49"/>
    <w:rsid w:val="00743D0D"/>
    <w:rsid w:val="00760AAE"/>
    <w:rsid w:val="00783A30"/>
    <w:rsid w:val="00790C3D"/>
    <w:rsid w:val="007A4279"/>
    <w:rsid w:val="007D0CA5"/>
    <w:rsid w:val="007E1F0B"/>
    <w:rsid w:val="007E3ADC"/>
    <w:rsid w:val="007F3436"/>
    <w:rsid w:val="007F4515"/>
    <w:rsid w:val="00805AC9"/>
    <w:rsid w:val="008077FC"/>
    <w:rsid w:val="00815127"/>
    <w:rsid w:val="00823AE1"/>
    <w:rsid w:val="00827459"/>
    <w:rsid w:val="00834A04"/>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3A03"/>
    <w:rsid w:val="00D7020B"/>
    <w:rsid w:val="00D73962"/>
    <w:rsid w:val="00D91B47"/>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3D99C-05DC-4C29-9E70-8709B7AC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3036</Words>
  <Characters>17917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2015-07-09T13:48:00Z</dcterms:created>
  <dcterms:modified xsi:type="dcterms:W3CDTF">2015-07-09T13:48:00Z</dcterms:modified>
</cp:coreProperties>
</file>